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2F5EF">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案例一：</w:t>
      </w:r>
    </w:p>
    <w:p w14:paraId="3F69DBE1">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default" w:ascii="仿宋_GB2312" w:hAnsi="仿宋_GB2312" w:eastAsia="仿宋_GB2312" w:cs="仿宋_GB2312"/>
          <w:sz w:val="32"/>
          <w:szCs w:val="32"/>
          <w:lang w:val="en-US" w:eastAsia="zh-CN"/>
        </w:rPr>
      </w:pPr>
    </w:p>
    <w:p w14:paraId="4217EA9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三服务</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进行时，太仓公积金“诚意服务”融入DREAM智汇谷服务品牌</w:t>
      </w:r>
    </w:p>
    <w:p w14:paraId="0FF9E5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38A085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公积金太仓分中心深入开展“三服务”专项行动，联合建设银行来到‌太仓智汇谷·科技创新园设立诚意服务站，走进园内企业京东方开展政策宣讲和业务指导。</w:t>
      </w:r>
    </w:p>
    <w:p w14:paraId="4E282DF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太仓智汇谷·科技创新园是为科创人才搭建的从企业工商注册到上市辅导全生命周期管家服务的产业平台，聚焦‌航空航天、新能源汽车及数字经济‌三大产业，获评苏州市人工智能与数字经济产业园、苏州市专业化OPC社区等称号。截至目前，已落户中国商飞、京东方、蚂蚁数科、弗劳恩霍夫等超100家行业领军企业与重大科创平台，其中人工智能+企业超50家，园区集聚各类科技人才超千人。</w:t>
      </w:r>
    </w:p>
    <w:p w14:paraId="14AA78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分中心依托智汇谷服务平台资源，在园区设立“公积金诚意服务站”，为园区企业和职工提供政策咨询、业务指导和需求反馈的一站式服务。分中心来到京东方开展“面对面”政策宣讲，重点解读住房公积金提取、贷款等与职工切身利益相关的政策细则，并就青年职工关心的租房提取、贷款额度和补充公积金缴纳等问题进行详细解答。</w:t>
      </w:r>
    </w:p>
    <w:p w14:paraId="0226F7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下一步，分中心将持续开展“三服务”专项行动，深化“诚意服务”品牌内涵，主动靠前对接企业需求，助力企业不断做大做强，融入园区服务生态体系，以精准化、常态化服务机制，推动公积金政策红利直达快享。</w:t>
      </w:r>
    </w:p>
    <w:p w14:paraId="4BFB822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sz w:val="32"/>
          <w:szCs w:val="32"/>
        </w:rPr>
      </w:pPr>
    </w:p>
    <w:p w14:paraId="72E4C90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sz w:val="32"/>
          <w:szCs w:val="32"/>
        </w:rPr>
      </w:pPr>
    </w:p>
    <w:p w14:paraId="11DAA564">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案例二：</w:t>
      </w:r>
    </w:p>
    <w:p w14:paraId="32DEAE13">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default" w:ascii="仿宋_GB2312" w:hAnsi="仿宋_GB2312" w:eastAsia="仿宋_GB2312" w:cs="仿宋_GB2312"/>
          <w:sz w:val="32"/>
          <w:szCs w:val="32"/>
          <w:lang w:val="en-US" w:eastAsia="zh-CN"/>
        </w:rPr>
      </w:pPr>
    </w:p>
    <w:p w14:paraId="0A3CB2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昆山分中心扎实推进“三服务”专项行动</w:t>
      </w:r>
    </w:p>
    <w:p w14:paraId="6004A44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以公积金精准服务助力区域高质量发展</w:t>
      </w:r>
    </w:p>
    <w:p w14:paraId="2B7DE2E4">
      <w:pPr>
        <w:pStyle w:val="2"/>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ascii="黑体" w:hAnsi="黑体" w:eastAsia="黑体" w:cs="黑体"/>
          <w:b/>
          <w:bCs/>
          <w:color w:val="0F1115"/>
          <w:sz w:val="32"/>
          <w:szCs w:val="32"/>
        </w:rPr>
      </w:pPr>
    </w:p>
    <w:p w14:paraId="452C0978">
      <w:pPr>
        <w:pStyle w:val="2"/>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cs="Times New Roman"/>
          <w:color w:val="0F1115"/>
          <w:sz w:val="32"/>
          <w:szCs w:val="32"/>
          <w:shd w:val="clear" w:color="auto" w:fill="FFFFFF"/>
        </w:rPr>
      </w:pPr>
      <w:r>
        <w:rPr>
          <w:rFonts w:ascii="Times New Roman" w:hAnsi="Times New Roman" w:eastAsia="仿宋_GB2312" w:cs="Times New Roman"/>
          <w:color w:val="0F1115"/>
          <w:sz w:val="32"/>
          <w:szCs w:val="32"/>
          <w:shd w:val="clear" w:color="auto" w:fill="FFFFFF"/>
        </w:rPr>
        <w:t>为深入贯彻落实“三服务”专项行动部署要求，昆山分中心闻令而动、精准发力，扎实开展系列服务活动，全力推动政策直达快享，为区域经济社会高质量发展注入公积金动能。</w:t>
      </w:r>
    </w:p>
    <w:p w14:paraId="5478B9FB">
      <w:pPr>
        <w:pStyle w:val="2"/>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jc w:val="left"/>
        <w:textAlignment w:val="auto"/>
        <w:rPr>
          <w:rFonts w:ascii="Times New Roman" w:hAnsi="Times New Roman" w:eastAsia="仿宋_GB2312" w:cs="Times New Roman"/>
          <w:color w:val="0F1115"/>
          <w:sz w:val="32"/>
          <w:szCs w:val="32"/>
          <w:shd w:val="clear" w:color="auto" w:fill="FFFFFF"/>
        </w:rPr>
      </w:pPr>
      <w:r>
        <w:rPr>
          <w:rFonts w:ascii="Times New Roman" w:hAnsi="Times New Roman" w:eastAsia="仿宋_GB2312" w:cs="Times New Roman"/>
          <w:b/>
          <w:bCs/>
          <w:color w:val="0F1115"/>
          <w:sz w:val="32"/>
          <w:szCs w:val="32"/>
          <w:shd w:val="clear" w:color="auto" w:fill="FFFFFF"/>
        </w:rPr>
        <w:t>一</w:t>
      </w:r>
      <w:r>
        <w:rPr>
          <w:rFonts w:hint="eastAsia" w:ascii="Times New Roman" w:hAnsi="Times New Roman" w:eastAsia="仿宋_GB2312" w:cs="Times New Roman"/>
          <w:b/>
          <w:bCs/>
          <w:color w:val="0F1115"/>
          <w:sz w:val="32"/>
          <w:szCs w:val="32"/>
          <w:shd w:val="clear" w:color="auto" w:fill="FFFFFF"/>
          <w:lang w:val="en-US" w:eastAsia="zh-CN"/>
        </w:rPr>
        <w:t>是</w:t>
      </w:r>
      <w:r>
        <w:rPr>
          <w:rFonts w:ascii="Times New Roman" w:hAnsi="Times New Roman" w:eastAsia="仿宋_GB2312" w:cs="Times New Roman"/>
          <w:b/>
          <w:bCs/>
          <w:color w:val="0F1115"/>
          <w:sz w:val="32"/>
          <w:szCs w:val="32"/>
          <w:shd w:val="clear" w:color="auto" w:fill="FFFFFF"/>
        </w:rPr>
        <w:t>聚焦企业需求，持续优化营商环境。</w:t>
      </w:r>
      <w:r>
        <w:rPr>
          <w:rFonts w:ascii="Times New Roman" w:hAnsi="Times New Roman" w:eastAsia="仿宋_GB2312" w:cs="Times New Roman"/>
          <w:color w:val="0F1115"/>
          <w:sz w:val="32"/>
          <w:szCs w:val="32"/>
          <w:shd w:val="clear" w:color="auto" w:fill="FFFFFF"/>
        </w:rPr>
        <w:t>分中心积极践行亲清政商关系要求，主动深入企业送政策、解难题。一月以来，先后走访丰田工业、固铂轮胎等4家重点规上企业，详细了解生产经营及用工实情，并就企业合规缴存、职工权益保障等提供针对性指导，助力企业降本增效、稳定队伍。聚焦房地产行业发展需求，分中心于1月22日组织召开房地</w:t>
      </w:r>
      <w:bookmarkStart w:id="0" w:name="_GoBack"/>
      <w:bookmarkEnd w:id="0"/>
      <w:r>
        <w:rPr>
          <w:rFonts w:ascii="Times New Roman" w:hAnsi="Times New Roman" w:eastAsia="仿宋_GB2312" w:cs="Times New Roman"/>
          <w:color w:val="0F1115"/>
          <w:sz w:val="32"/>
          <w:szCs w:val="32"/>
          <w:shd w:val="clear" w:color="auto" w:fill="FFFFFF"/>
        </w:rPr>
        <w:t>产企业专题座谈会，邀请20余家房企围绕政策适用、流程优化等深入交流，协同破解堵点、提升服务效能，切实推动“企业需求早知道”向“政府服务早到位”转变。</w:t>
      </w:r>
    </w:p>
    <w:p w14:paraId="191C1E54">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color w:val="0F1115"/>
          <w:sz w:val="32"/>
          <w:szCs w:val="32"/>
          <w:shd w:val="clear" w:color="auto" w:fill="FFFFFF"/>
        </w:rPr>
      </w:pPr>
      <w:r>
        <w:rPr>
          <w:rFonts w:ascii="Times New Roman" w:hAnsi="Times New Roman" w:eastAsia="仿宋_GB2312" w:cs="Times New Roman"/>
          <w:b/>
          <w:bCs/>
          <w:color w:val="0F1115"/>
          <w:sz w:val="32"/>
          <w:szCs w:val="32"/>
          <w:shd w:val="clear" w:color="auto" w:fill="FFFFFF"/>
        </w:rPr>
        <w:t>二</w:t>
      </w:r>
      <w:r>
        <w:rPr>
          <w:rFonts w:hint="eastAsia" w:ascii="Times New Roman" w:hAnsi="Times New Roman" w:eastAsia="仿宋_GB2312" w:cs="Times New Roman"/>
          <w:b/>
          <w:bCs/>
          <w:color w:val="0F1115"/>
          <w:sz w:val="32"/>
          <w:szCs w:val="32"/>
          <w:shd w:val="clear" w:color="auto" w:fill="FFFFFF"/>
          <w:lang w:val="en-US" w:eastAsia="zh-CN"/>
        </w:rPr>
        <w:t>是</w:t>
      </w:r>
      <w:r>
        <w:rPr>
          <w:rFonts w:ascii="Times New Roman" w:hAnsi="Times New Roman" w:eastAsia="仿宋_GB2312" w:cs="Times New Roman"/>
          <w:b/>
          <w:bCs/>
          <w:color w:val="0F1115"/>
          <w:sz w:val="32"/>
          <w:szCs w:val="32"/>
          <w:shd w:val="clear" w:color="auto" w:fill="FFFFFF"/>
        </w:rPr>
        <w:t>前置项目对接，护航重大工程建设。</w:t>
      </w:r>
      <w:r>
        <w:rPr>
          <w:rFonts w:ascii="Times New Roman" w:hAnsi="Times New Roman" w:eastAsia="仿宋_GB2312" w:cs="Times New Roman"/>
          <w:color w:val="0F1115"/>
          <w:sz w:val="32"/>
          <w:szCs w:val="32"/>
          <w:shd w:val="clear" w:color="auto" w:fill="FFFFFF"/>
        </w:rPr>
        <w:t> 分中心以高质量项目服务为着力点，坚持服务前置、主动靠前的工作导向。针对昆山开发区即将于今年8月投产的十亿级重点项目——耐创光电，迅速组建服务专班，提前对接项目指挥部，系统阐释住房公积金在稳定职工队伍、提升人才吸引力方面的政策优势，并就投产后单位开户建缴、人才安居支持等提供“一企一策”指引与预案，助力企业构建引才留才的安居保障体系，为项目顺利投产达效夯实基础。</w:t>
      </w:r>
    </w:p>
    <w:p w14:paraId="69A7BA34">
      <w:pPr>
        <w:pStyle w:val="2"/>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jc w:val="left"/>
        <w:textAlignment w:val="auto"/>
        <w:rPr>
          <w:rFonts w:ascii="Times New Roman" w:hAnsi="Times New Roman" w:eastAsia="仿宋_GB2312" w:cs="Times New Roman"/>
          <w:color w:val="0F1115"/>
          <w:sz w:val="32"/>
          <w:szCs w:val="32"/>
          <w:shd w:val="clear" w:color="auto" w:fill="FFFFFF"/>
        </w:rPr>
      </w:pPr>
      <w:r>
        <w:rPr>
          <w:rFonts w:ascii="Times New Roman" w:hAnsi="Times New Roman" w:eastAsia="仿宋_GB2312" w:cs="Times New Roman"/>
          <w:b/>
          <w:bCs/>
          <w:color w:val="0F1115"/>
          <w:sz w:val="32"/>
          <w:szCs w:val="32"/>
          <w:shd w:val="clear" w:color="auto" w:fill="FFFFFF"/>
        </w:rPr>
        <w:t>三</w:t>
      </w:r>
      <w:r>
        <w:rPr>
          <w:rFonts w:hint="eastAsia" w:ascii="Times New Roman" w:hAnsi="Times New Roman" w:eastAsia="仿宋_GB2312" w:cs="Times New Roman"/>
          <w:b/>
          <w:bCs/>
          <w:color w:val="0F1115"/>
          <w:sz w:val="32"/>
          <w:szCs w:val="32"/>
          <w:shd w:val="clear" w:color="auto" w:fill="FFFFFF"/>
          <w:lang w:val="en-US" w:eastAsia="zh-CN"/>
        </w:rPr>
        <w:t>是</w:t>
      </w:r>
      <w:r>
        <w:rPr>
          <w:rFonts w:ascii="Times New Roman" w:hAnsi="Times New Roman" w:eastAsia="仿宋_GB2312" w:cs="Times New Roman"/>
          <w:b/>
          <w:bCs/>
          <w:color w:val="0F1115"/>
          <w:sz w:val="32"/>
          <w:szCs w:val="32"/>
          <w:shd w:val="clear" w:color="auto" w:fill="FFFFFF"/>
        </w:rPr>
        <w:t>延伸服务触角，增强基层普惠实效。</w:t>
      </w:r>
      <w:r>
        <w:rPr>
          <w:rFonts w:ascii="Times New Roman" w:hAnsi="Times New Roman" w:eastAsia="仿宋_GB2312" w:cs="Times New Roman"/>
          <w:color w:val="0F1115"/>
          <w:sz w:val="32"/>
          <w:szCs w:val="32"/>
          <w:shd w:val="clear" w:color="auto" w:fill="FFFFFF"/>
        </w:rPr>
        <w:t> 分中心坚持力量下沉、服务下沉，推动政策宣传进园区、入社区。1月15日，联合建行昆山分行面向羊绒协会举办灵活就业专场宣讲，结合行业特点精准解读个体工商户灵活建缴、补贴优惠等政策支持，助力传统产业规范发展。1月27日，联合昆山高新区党群工作部、团工委等在全家驿站开展“青‘新’聚力 焕‘新’出发”暖冬行动，向快递、外卖小哥们面对面讲解灵活就业人员参缴优势及办理渠道，并送上腊八节日关怀，通过主动贴近新业态群体与特色行业，有效提升政策感知度和普惠性。</w:t>
      </w:r>
    </w:p>
    <w:p w14:paraId="5D3A5D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ascii="Times New Roman" w:hAnsi="Times New Roman" w:eastAsia="仿宋_GB2312" w:cs="Times New Roman"/>
          <w:color w:val="0F1115"/>
          <w:sz w:val="32"/>
          <w:szCs w:val="32"/>
          <w:shd w:val="clear" w:color="auto" w:fill="FFFFFF"/>
        </w:rPr>
        <w:t>下一步，昆山分中心将持续深化“三服务”专项行动主线，着力构建常态化、精准化的服务响应机制，切实将公积金制度优势转化为助力企业成长、项目推进和基层治理的实际效能，为持续优化营商环境、推动区域高质量发展贡献更多公积金力量。</w:t>
      </w:r>
    </w:p>
    <w:p w14:paraId="20A2FB9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仿宋_GB2312" w:cs="Times New Roman"/>
          <w:sz w:val="32"/>
          <w:szCs w:val="32"/>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375C77-6870-4E1A-ABBF-57B643F2011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50AA0546-EE3D-48FC-9BA4-2F5A3E9FFA3E}"/>
  </w:font>
  <w:font w:name="方正小标宋简体">
    <w:panose1 w:val="02010601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3E4"/>
    <w:rsid w:val="006C286B"/>
    <w:rsid w:val="00DF73E4"/>
    <w:rsid w:val="0F87169C"/>
    <w:rsid w:val="1A5F6445"/>
    <w:rsid w:val="1E3005AB"/>
    <w:rsid w:val="36A93CA1"/>
    <w:rsid w:val="3C032B52"/>
    <w:rsid w:val="42967500"/>
    <w:rsid w:val="44D130DE"/>
    <w:rsid w:val="46F024C9"/>
    <w:rsid w:val="50496571"/>
    <w:rsid w:val="5E002783"/>
    <w:rsid w:val="7A9E2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1515</Words>
  <Characters>1564</Characters>
  <Lines>3</Lines>
  <Paragraphs>1</Paragraphs>
  <TotalTime>3</TotalTime>
  <ScaleCrop>false</ScaleCrop>
  <LinksUpToDate>false</LinksUpToDate>
  <CharactersWithSpaces>1566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2025-09-15T06:21:00Z</dcterms:created>
  <dc:creator>Administrator</dc:creator>
  <cp:lastModifiedBy>syp</cp:lastModifiedBy>
  <cp:lastPrinted>2025-09-17T07:52:00Z</cp:lastPrinted>
  <dcterms:modified xsi:type="dcterms:W3CDTF">2026-01-30T06:25:11Z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eyJoZGlkIjoiMWUzOTUwODc1M2Y0Zjk3MjZiNzNlZDVjYzBhM2YxYWEiLCJ1c2VySWQiOiI3MjEyNDgwMjYifQ==</vt:lpwstr>
  </property>
  <property fmtid="{D5CDD505-2E9C-101B-9397-08002B2CF9AE}" pid="4" name="ICV">
    <vt:lpwstr>D77FD94D3EB448F0A364C99A219FF889_13</vt:lpwstr>
  </property>
</Properties>
</file>